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68" w:rsidRDefault="005F0968" w:rsidP="003142EE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2  Nazanin"/>
          <w:b/>
          <w:bCs/>
          <w:color w:val="000000"/>
          <w:sz w:val="24"/>
          <w:szCs w:val="24"/>
          <w:rtl/>
        </w:rPr>
      </w:pPr>
      <w:r w:rsidRPr="003142EE">
        <w:rPr>
          <w:rFonts w:ascii="Tahoma" w:eastAsia="Times New Roman" w:hAnsi="Tahoma" w:cs="2  Nazanin" w:hint="cs"/>
          <w:b/>
          <w:bCs/>
          <w:color w:val="000000"/>
          <w:sz w:val="24"/>
          <w:szCs w:val="24"/>
          <w:rtl/>
        </w:rPr>
        <w:t>صورت جلسه دفتر منتورینگ</w:t>
      </w:r>
    </w:p>
    <w:p w:rsidR="005F0968" w:rsidRPr="003142EE" w:rsidRDefault="003142EE" w:rsidP="00C04D7B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2  Nazanin"/>
          <w:color w:val="000000"/>
          <w:sz w:val="24"/>
          <w:szCs w:val="24"/>
          <w:rtl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                     </w:t>
      </w:r>
      <w:r w:rsidR="005F0968" w:rsidRPr="003142EE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جلسه منتورینگ مورخه </w:t>
      </w:r>
      <w:r w:rsidR="00C04D7B">
        <w:rPr>
          <w:rFonts w:ascii="Tahoma" w:eastAsia="Times New Roman" w:hAnsi="Tahoma" w:cs="2  Nazanin" w:hint="cs"/>
          <w:color w:val="000000"/>
          <w:sz w:val="24"/>
          <w:szCs w:val="24"/>
          <w:rtl/>
        </w:rPr>
        <w:t>8</w:t>
      </w:r>
      <w:r w:rsidR="009D0D5F" w:rsidRPr="003142EE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/5/97 در </w:t>
      </w:r>
      <w:r w:rsidR="00C04D7B">
        <w:rPr>
          <w:rFonts w:ascii="Tahoma" w:eastAsia="Times New Roman" w:hAnsi="Tahoma" w:cs="2  Nazanin" w:hint="cs"/>
          <w:color w:val="000000"/>
          <w:sz w:val="24"/>
          <w:szCs w:val="24"/>
          <w:rtl/>
        </w:rPr>
        <w:t>کلاس 9</w:t>
      </w:r>
      <w:r w:rsidR="005F0968" w:rsidRPr="003142EE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با موضوعات ذیل برگزار گردید:</w:t>
      </w:r>
    </w:p>
    <w:p w:rsidR="00A31FD4" w:rsidRPr="003142EE" w:rsidRDefault="00D74E95" w:rsidP="00F100E7">
      <w:pPr>
        <w:numPr>
          <w:ilvl w:val="0"/>
          <w:numId w:val="2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بررسی و جمع بندی ن</w:t>
      </w:r>
      <w:r w:rsidR="00F100E7">
        <w:rPr>
          <w:rFonts w:ascii="Tahoma" w:eastAsia="Times New Roman" w:hAnsi="Tahoma" w:cs="2  Nazanin" w:hint="cs"/>
          <w:color w:val="000000"/>
          <w:sz w:val="24"/>
          <w:szCs w:val="24"/>
          <w:rtl/>
        </w:rPr>
        <w:t>قاط</w:t>
      </w: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قوت و ضعف فعالیت های منتورینگ بر اساس نظرسنجی صورت گرفته از منتی ها</w:t>
      </w:r>
      <w:r w:rsidR="008A6589">
        <w:rPr>
          <w:rFonts w:ascii="Tahoma" w:eastAsia="Times New Roman" w:hAnsi="Tahoma" w:cs="2  Nazanin" w:hint="cs"/>
          <w:color w:val="000000"/>
          <w:sz w:val="24"/>
          <w:szCs w:val="24"/>
          <w:rtl/>
        </w:rPr>
        <w:t>،</w:t>
      </w: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توسط استاد سید رسولی </w:t>
      </w:r>
    </w:p>
    <w:p w:rsidR="009D0D5F" w:rsidRPr="003142EE" w:rsidRDefault="004C1E80" w:rsidP="008A6589">
      <w:pPr>
        <w:numPr>
          <w:ilvl w:val="0"/>
          <w:numId w:val="2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ارائه کوتاهی از نحوه ی فعالی</w:t>
      </w:r>
      <w:r w:rsidR="00F100E7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ت های تیم </w:t>
      </w:r>
      <w:r w:rsidR="008A6589">
        <w:rPr>
          <w:rFonts w:ascii="Tahoma" w:eastAsia="Times New Roman" w:hAnsi="Tahoma" w:cs="2  Nazanin" w:hint="cs"/>
          <w:color w:val="000000"/>
          <w:sz w:val="24"/>
          <w:szCs w:val="24"/>
          <w:rtl/>
        </w:rPr>
        <w:t>تشکیلاتی</w:t>
      </w:r>
      <w:r w:rsidR="00F100E7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توسط آقای سپهری</w:t>
      </w:r>
    </w:p>
    <w:p w:rsidR="003B359E" w:rsidRDefault="00B94E68" w:rsidP="00F100E7">
      <w:pPr>
        <w:tabs>
          <w:tab w:val="left" w:pos="8336"/>
          <w:tab w:val="right" w:pos="9026"/>
        </w:tabs>
        <w:spacing w:after="0"/>
        <w:ind w:left="360"/>
        <w:jc w:val="both"/>
        <w:rPr>
          <w:rFonts w:ascii="Tahoma" w:eastAsia="Times New Roman" w:hAnsi="Tahoma" w:cs="2  Nazanin"/>
          <w:color w:val="000000"/>
          <w:sz w:val="24"/>
          <w:szCs w:val="24"/>
          <w:rtl/>
        </w:rPr>
      </w:pPr>
      <w:r w:rsidRPr="003142EE">
        <w:rPr>
          <w:rFonts w:ascii="Tahoma" w:eastAsia="Times New Roman" w:hAnsi="Tahoma" w:cs="2  Nazanin" w:hint="cs"/>
          <w:color w:val="000000"/>
          <w:sz w:val="24"/>
          <w:szCs w:val="24"/>
          <w:rtl/>
        </w:rPr>
        <w:t>-</w:t>
      </w:r>
      <w:r w:rsidR="00F100E7">
        <w:rPr>
          <w:rFonts w:ascii="Tahoma" w:eastAsia="Times New Roman" w:hAnsi="Tahoma" w:cs="2  Nazanin" w:hint="cs"/>
          <w:color w:val="000000"/>
          <w:sz w:val="24"/>
          <w:szCs w:val="24"/>
          <w:rtl/>
        </w:rPr>
        <w:t>قرار بر این شد که جلسه ی توجیهی در شهریور ماه</w:t>
      </w:r>
      <w:r w:rsidR="00CA4B4F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(تاریخ دقیق روز جلسه متعاقبا اعلام خواهد شد)</w:t>
      </w:r>
      <w:r w:rsidR="00F100E7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جهت مشخص شدن شرح وظایف هر کدام از مسئولین واحد ارتباطات، کنترل، ارزیابی، برنامه ریزی، تدارکات و... برگزار شود.</w:t>
      </w:r>
      <w:r w:rsidR="00CA4B4F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بر این اساس ابلاغ های جدید منتورها با اشاره بر وظیفه ی آنها اصلاح خواهد شد.</w:t>
      </w:r>
    </w:p>
    <w:p w:rsidR="00A31FD4" w:rsidRPr="003142EE" w:rsidRDefault="00E67904" w:rsidP="00183E22">
      <w:pPr>
        <w:numPr>
          <w:ilvl w:val="0"/>
          <w:numId w:val="2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برنامه ریزی و تقسیم کار ستاد استقبال از دانشجویان جدید الورود</w:t>
      </w:r>
    </w:p>
    <w:p w:rsidR="00DB4EE0" w:rsidRPr="003142EE" w:rsidRDefault="00DB4EE0" w:rsidP="00E67904">
      <w:pPr>
        <w:tabs>
          <w:tab w:val="left" w:pos="8336"/>
          <w:tab w:val="right" w:pos="9026"/>
        </w:tabs>
        <w:spacing w:after="0"/>
        <w:ind w:left="720"/>
        <w:jc w:val="both"/>
        <w:rPr>
          <w:rFonts w:ascii="Tahoma" w:eastAsia="Times New Roman" w:hAnsi="Tahoma" w:cs="2  Nazanin"/>
          <w:color w:val="000000"/>
          <w:sz w:val="24"/>
          <w:szCs w:val="24"/>
          <w:u w:val="single"/>
          <w:rtl/>
        </w:rPr>
      </w:pPr>
      <w:r w:rsidRPr="003142EE">
        <w:rPr>
          <w:rFonts w:ascii="Tahoma" w:eastAsia="Times New Roman" w:hAnsi="Tahoma" w:cs="2  Nazanin" w:hint="cs"/>
          <w:color w:val="000000"/>
          <w:sz w:val="24"/>
          <w:szCs w:val="24"/>
          <w:rtl/>
        </w:rPr>
        <w:t>*</w:t>
      </w:r>
      <w:r w:rsidR="00E67904">
        <w:rPr>
          <w:rFonts w:ascii="Tahoma" w:eastAsia="Times New Roman" w:hAnsi="Tahoma" w:cs="2  Nazanin" w:hint="cs"/>
          <w:color w:val="000000"/>
          <w:sz w:val="24"/>
          <w:szCs w:val="24"/>
          <w:u w:val="single"/>
          <w:rtl/>
        </w:rPr>
        <w:t>تیم منتورینگ روز ثبت نام دانشجویان جدیدالورود در محل ثبت نام حضور خواهند داشت.</w:t>
      </w:r>
    </w:p>
    <w:p w:rsidR="00DB4EE0" w:rsidRPr="003142EE" w:rsidRDefault="00DB4EE0" w:rsidP="00FC4D30">
      <w:pPr>
        <w:tabs>
          <w:tab w:val="left" w:pos="8336"/>
          <w:tab w:val="right" w:pos="9026"/>
        </w:tabs>
        <w:spacing w:after="0"/>
        <w:ind w:left="720"/>
        <w:jc w:val="both"/>
        <w:rPr>
          <w:rFonts w:ascii="Tahoma" w:eastAsia="Times New Roman" w:hAnsi="Tahoma" w:cs="2  Nazanin"/>
          <w:color w:val="000000"/>
          <w:sz w:val="24"/>
          <w:szCs w:val="24"/>
          <w:rtl/>
        </w:rPr>
      </w:pPr>
      <w:r w:rsidRPr="003142EE">
        <w:rPr>
          <w:rFonts w:ascii="Tahoma" w:eastAsia="Times New Roman" w:hAnsi="Tahoma" w:cs="2  Nazanin" w:hint="cs"/>
          <w:color w:val="000000"/>
          <w:sz w:val="24"/>
          <w:szCs w:val="24"/>
          <w:rtl/>
        </w:rPr>
        <w:t>*</w:t>
      </w:r>
      <w:r w:rsidR="00E67904">
        <w:rPr>
          <w:rFonts w:ascii="Tahoma" w:eastAsia="Times New Roman" w:hAnsi="Tahoma" w:cs="2  Nazanin" w:hint="cs"/>
          <w:color w:val="000000"/>
          <w:sz w:val="24"/>
          <w:szCs w:val="24"/>
          <w:u w:val="single"/>
          <w:rtl/>
        </w:rPr>
        <w:t xml:space="preserve">بروشور منتورینگ توسط خانم نیک سرشت برای دانشجویان جدیدالورود طراحی که محتوای این بروشور: معرفی اتاق شیشه ای(دفتر منتورینگ)، معرفی کانال های ارتباطی، درج نظرات منتی و نقاط قوت و ضعف و...خواهد بود. </w:t>
      </w:r>
    </w:p>
    <w:p w:rsidR="00DB4EE0" w:rsidRPr="003142EE" w:rsidRDefault="00FC4D30" w:rsidP="003142EE">
      <w:pPr>
        <w:pStyle w:val="ListParagraph"/>
        <w:numPr>
          <w:ilvl w:val="0"/>
          <w:numId w:val="2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به دلیل عدم تمایل به همکاری منتور پورانلو، منتی های ایشان به آقای نصیری معرفی خواهند شد.</w:t>
      </w:r>
    </w:p>
    <w:p w:rsidR="00775AD5" w:rsidRPr="003142EE" w:rsidRDefault="00FC4D30" w:rsidP="003142EE">
      <w:pPr>
        <w:pStyle w:val="ListParagraph"/>
        <w:numPr>
          <w:ilvl w:val="0"/>
          <w:numId w:val="2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لیست افراد علاقه مند جهت شرکت در کارگاه های پراتیک دانشکده داروسازی توسط خانم نیک سرشت تهیه و جهت هماهنگی روز و تاریخ کارگاه ها به استاد سید رسولی تحویل داده شد.( تاریخ و روز کارگاه ها به زودی در کانال تلگرامی اعلام خواهد شد).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F0968" w:rsidRPr="003142EE" w:rsidTr="00CC4F47">
        <w:trPr>
          <w:trHeight w:val="1883"/>
        </w:trPr>
        <w:tc>
          <w:tcPr>
            <w:tcW w:w="1803" w:type="dxa"/>
          </w:tcPr>
          <w:p w:rsidR="005F0968" w:rsidRPr="003142EE" w:rsidRDefault="009D0D5F" w:rsidP="003142EE">
            <w:pPr>
              <w:tabs>
                <w:tab w:val="left" w:pos="8336"/>
                <w:tab w:val="right" w:pos="9026"/>
              </w:tabs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  <w:r w:rsidRPr="003142EE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آلهه سیدرسولی،عضو هیئت علمی،</w:t>
            </w:r>
            <w:r w:rsidR="003B359E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3142EE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مسئول منتورینگ دانشکده پرستاری و مامایی تبریز</w:t>
            </w:r>
          </w:p>
        </w:tc>
        <w:tc>
          <w:tcPr>
            <w:tcW w:w="1803" w:type="dxa"/>
          </w:tcPr>
          <w:p w:rsidR="009D0D5F" w:rsidRPr="003142EE" w:rsidRDefault="009D0D5F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 w:rsidRPr="003142EE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میرمحمد پورسیدین</w:t>
            </w:r>
          </w:p>
          <w:p w:rsidR="009D0D5F" w:rsidRPr="003142EE" w:rsidRDefault="009D0D5F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 w:rsidRPr="003142EE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دانشجوی پرستاری</w:t>
            </w:r>
          </w:p>
          <w:p w:rsidR="005F0968" w:rsidRPr="003142EE" w:rsidRDefault="009D0D5F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 w:rsidRPr="003142EE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مدیر دانشجویی واحد منتورینگ</w:t>
            </w:r>
          </w:p>
        </w:tc>
        <w:tc>
          <w:tcPr>
            <w:tcW w:w="1803" w:type="dxa"/>
          </w:tcPr>
          <w:p w:rsidR="009D0D5F" w:rsidRPr="003142EE" w:rsidRDefault="009D0D5F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 w:rsidRPr="003142EE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مهدیه اسمعیل نژاد دانشجوی ارشد پرستاری داخلی جراحی</w:t>
            </w:r>
          </w:p>
          <w:p w:rsidR="005F0968" w:rsidRPr="003142EE" w:rsidRDefault="009D0D5F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 w:rsidRPr="003142EE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مسئول واحد برنامه ریزی</w:t>
            </w:r>
          </w:p>
        </w:tc>
        <w:tc>
          <w:tcPr>
            <w:tcW w:w="1803" w:type="dxa"/>
          </w:tcPr>
          <w:p w:rsidR="009D0D5F" w:rsidRPr="003142EE" w:rsidRDefault="009D0D5F" w:rsidP="004C1E80">
            <w:pPr>
              <w:tabs>
                <w:tab w:val="left" w:pos="8336"/>
                <w:tab w:val="right" w:pos="9026"/>
              </w:tabs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 w:rsidRPr="003142EE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محدثه نیک سرشت  دانشجوی پرستاری</w:t>
            </w:r>
          </w:p>
          <w:p w:rsidR="005F0968" w:rsidRPr="003142EE" w:rsidRDefault="009D0D5F" w:rsidP="00FC4D30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 w:rsidRPr="003142EE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 xml:space="preserve">مسئول واحد </w:t>
            </w:r>
            <w:r w:rsidR="00FC4D30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ارتباطات</w:t>
            </w:r>
          </w:p>
        </w:tc>
        <w:tc>
          <w:tcPr>
            <w:tcW w:w="1804" w:type="dxa"/>
          </w:tcPr>
          <w:p w:rsidR="004C1E80" w:rsidRDefault="009D0D5F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 w:rsidRPr="003142EE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زهرا فتاحی</w:t>
            </w:r>
          </w:p>
          <w:p w:rsidR="003B359E" w:rsidRDefault="009D0D5F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 w:rsidRPr="003142EE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 xml:space="preserve"> دانشجوی پرستاری </w:t>
            </w:r>
          </w:p>
          <w:p w:rsidR="005F0968" w:rsidRPr="003142EE" w:rsidRDefault="009D0D5F" w:rsidP="003B359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 w:rsidRPr="003142EE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مسئول واحد کنترل</w:t>
            </w:r>
          </w:p>
        </w:tc>
      </w:tr>
      <w:tr w:rsidR="005F0968" w:rsidRPr="003142EE" w:rsidTr="00CC4F47">
        <w:trPr>
          <w:trHeight w:val="1980"/>
        </w:trPr>
        <w:tc>
          <w:tcPr>
            <w:tcW w:w="1803" w:type="dxa"/>
          </w:tcPr>
          <w:p w:rsidR="003142EE" w:rsidRDefault="008A6589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محمدرضا سپهری</w:t>
            </w:r>
          </w:p>
          <w:p w:rsidR="008A6589" w:rsidRDefault="008A6589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دانشجوی پرستاری</w:t>
            </w:r>
          </w:p>
          <w:p w:rsidR="008A6589" w:rsidRPr="003142EE" w:rsidRDefault="008A6589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مسئول واحد تدارکات</w:t>
            </w:r>
          </w:p>
        </w:tc>
        <w:tc>
          <w:tcPr>
            <w:tcW w:w="1803" w:type="dxa"/>
          </w:tcPr>
          <w:p w:rsidR="005F0968" w:rsidRDefault="008A6589" w:rsidP="003142EE">
            <w:pPr>
              <w:tabs>
                <w:tab w:val="left" w:pos="8336"/>
                <w:tab w:val="right" w:pos="9026"/>
              </w:tabs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سعید نصیری</w:t>
            </w:r>
          </w:p>
          <w:p w:rsidR="008A6589" w:rsidRPr="003142EE" w:rsidRDefault="008A6589" w:rsidP="003142EE">
            <w:pPr>
              <w:tabs>
                <w:tab w:val="left" w:pos="8336"/>
                <w:tab w:val="right" w:pos="9026"/>
              </w:tabs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دانشجوی پرستاری</w:t>
            </w:r>
          </w:p>
        </w:tc>
        <w:tc>
          <w:tcPr>
            <w:tcW w:w="1803" w:type="dxa"/>
          </w:tcPr>
          <w:p w:rsidR="005F0968" w:rsidRDefault="008A6589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محمد</w:t>
            </w:r>
            <w:r w:rsidR="004C1E80"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 xml:space="preserve"> حسین</w:t>
            </w:r>
            <w:r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 xml:space="preserve"> داوطلب</w:t>
            </w:r>
          </w:p>
          <w:p w:rsidR="008A6589" w:rsidRDefault="008A6589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دانشجوی پرستاری</w:t>
            </w:r>
          </w:p>
          <w:p w:rsidR="008A6589" w:rsidRPr="003142EE" w:rsidRDefault="008A6589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5F0968" w:rsidRDefault="008A6589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سمیرا حیاتی</w:t>
            </w:r>
          </w:p>
          <w:p w:rsidR="008A6589" w:rsidRPr="003142EE" w:rsidRDefault="008A6589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2  Nazanin" w:hint="cs"/>
                <w:color w:val="000000"/>
                <w:sz w:val="24"/>
                <w:szCs w:val="24"/>
                <w:rtl/>
              </w:rPr>
              <w:t>دانشجوی اتاق عمل</w:t>
            </w:r>
          </w:p>
        </w:tc>
        <w:tc>
          <w:tcPr>
            <w:tcW w:w="1804" w:type="dxa"/>
          </w:tcPr>
          <w:p w:rsidR="005F0968" w:rsidRPr="003142EE" w:rsidRDefault="005F0968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4"/>
                <w:szCs w:val="24"/>
                <w:rtl/>
              </w:rPr>
            </w:pPr>
          </w:p>
        </w:tc>
      </w:tr>
    </w:tbl>
    <w:p w:rsidR="005F0968" w:rsidRPr="003142EE" w:rsidRDefault="005F0968" w:rsidP="003142EE">
      <w:p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</w:p>
    <w:p w:rsidR="00D34D01" w:rsidRPr="003142EE" w:rsidRDefault="00D34D01" w:rsidP="003142EE">
      <w:p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</w:p>
    <w:sectPr w:rsidR="00D34D01" w:rsidRPr="003142EE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85C" w:rsidRDefault="00BC185C" w:rsidP="00135BE7">
      <w:pPr>
        <w:spacing w:after="0" w:line="240" w:lineRule="auto"/>
      </w:pPr>
      <w:r>
        <w:separator/>
      </w:r>
    </w:p>
  </w:endnote>
  <w:endnote w:type="continuationSeparator" w:id="0">
    <w:p w:rsidR="00BC185C" w:rsidRDefault="00BC185C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47" w:rsidRPr="00332FF1" w:rsidRDefault="00CC4F47" w:rsidP="00332FF1">
    <w:pPr>
      <w:jc w:val="center"/>
      <w:rPr>
        <w:rtl/>
      </w:rPr>
    </w:pPr>
    <w:r>
      <w:rPr>
        <w:noProof/>
        <w:color w:val="4F81BD" w:themeColor="accent1"/>
        <w:lang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389AFFF" wp14:editId="24318282">
              <wp:simplePos x="0" y="0"/>
              <wp:positionH relativeFrom="margin">
                <wp:posOffset>0</wp:posOffset>
              </wp:positionH>
              <wp:positionV relativeFrom="bottomMargin">
                <wp:posOffset>-137289</wp:posOffset>
              </wp:positionV>
              <wp:extent cx="5943600" cy="36195"/>
              <wp:effectExtent l="0" t="0" r="254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C4F47" w:rsidRDefault="00CC4F47" w:rsidP="00184573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9AFFF" id="Rectangle 58" o:spid="_x0000_s1026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    <v:textbox>
                <w:txbxContent>
                  <w:p w:rsidR="00CC4F47" w:rsidRDefault="00CC4F47" w:rsidP="00184573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CC4F47" w:rsidRPr="003B57D0" w:rsidRDefault="00CC4F4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CC4F47" w:rsidRPr="00184573" w:rsidRDefault="00CC4F4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5C" w:rsidRDefault="00BC185C" w:rsidP="00135BE7">
      <w:pPr>
        <w:spacing w:after="0" w:line="240" w:lineRule="auto"/>
      </w:pPr>
      <w:r>
        <w:separator/>
      </w:r>
    </w:p>
  </w:footnote>
  <w:footnote w:type="continuationSeparator" w:id="0">
    <w:p w:rsidR="00BC185C" w:rsidRDefault="00BC185C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47" w:rsidRDefault="00BC185C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47" w:rsidRPr="00FC208F" w:rsidRDefault="00CC4F47" w:rsidP="00A45F8F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</w:rPr>
    </w:pPr>
    <w:r w:rsidRPr="00A45F8F">
      <w:rPr>
        <w:rFonts w:ascii="IranNastaliq" w:hAnsi="IranNastaliq"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8480" behindDoc="1" locked="0" layoutInCell="1" allowOverlap="1" wp14:anchorId="35F70B06" wp14:editId="616EB43A">
          <wp:simplePos x="0" y="0"/>
          <wp:positionH relativeFrom="margin">
            <wp:posOffset>-380999</wp:posOffset>
          </wp:positionH>
          <wp:positionV relativeFrom="paragraph">
            <wp:posOffset>6985</wp:posOffset>
          </wp:positionV>
          <wp:extent cx="1121108" cy="10001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31" cy="1008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5F8F">
      <w:rPr>
        <w:rFonts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2336" behindDoc="1" locked="0" layoutInCell="1" allowOverlap="1" wp14:anchorId="6D91CCAD" wp14:editId="0D66048F">
          <wp:simplePos x="0" y="0"/>
          <wp:positionH relativeFrom="margin">
            <wp:posOffset>5388610</wp:posOffset>
          </wp:positionH>
          <wp:positionV relativeFrom="margin">
            <wp:posOffset>-1337310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85C">
      <w:rPr>
        <w:rFonts w:cs="B Nazanin"/>
        <w:b/>
        <w:bCs/>
        <w:noProof/>
        <w:sz w:val="20"/>
        <w:szCs w:val="20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3" o:title="photo_2017-12-28_18-33-33" gain="19661f" blacklevel="22938f"/>
          <w10:wrap anchorx="margin" anchory="margin"/>
        </v:shape>
      </w:pict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بسم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الله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الرحمن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الرحیم</w:t>
    </w:r>
  </w:p>
  <w:p w:rsidR="00CC4F47" w:rsidRPr="00A45F8F" w:rsidRDefault="00CC4F47" w:rsidP="00A45F8F">
    <w:pPr>
      <w:pStyle w:val="Header"/>
      <w:spacing w:after="120"/>
      <w:jc w:val="center"/>
      <w:rPr>
        <w:rFonts w:cs="B Nazanin"/>
        <w:b/>
        <w:bCs/>
        <w:sz w:val="24"/>
        <w:szCs w:val="24"/>
        <w:rtl/>
      </w:rPr>
    </w:pPr>
    <w:r w:rsidRPr="00A45F8F">
      <w:rPr>
        <w:rFonts w:cs="B Nazanin"/>
        <w:b/>
        <w:bCs/>
        <w:sz w:val="24"/>
        <w:szCs w:val="24"/>
        <w:rtl/>
      </w:rPr>
      <w:t>إنَّ لِكُلِّ شَيءٍ زَكاةً ، وزَكاةُ العِلمِ أن يُعَلِّمَهُ أهلَهُ</w:t>
    </w:r>
    <w:r w:rsidRPr="00A45F8F">
      <w:rPr>
        <w:rFonts w:ascii="Cambria" w:hAnsi="Cambria" w:cs="Cambria" w:hint="cs"/>
        <w:b/>
        <w:bCs/>
        <w:sz w:val="24"/>
        <w:szCs w:val="24"/>
        <w:rtl/>
      </w:rPr>
      <w:t> </w:t>
    </w:r>
  </w:p>
  <w:p w:rsidR="00CC4F47" w:rsidRPr="00A45F8F" w:rsidRDefault="00CC4F47" w:rsidP="00A45F8F">
    <w:pPr>
      <w:pStyle w:val="Header"/>
      <w:spacing w:after="120"/>
      <w:jc w:val="center"/>
      <w:rPr>
        <w:rFonts w:cs="B Nazanin"/>
        <w:sz w:val="24"/>
        <w:szCs w:val="24"/>
      </w:rPr>
    </w:pPr>
    <w:r w:rsidRPr="00A45F8F">
      <w:rPr>
        <w:rFonts w:cs="B Nazanin"/>
        <w:sz w:val="24"/>
        <w:szCs w:val="24"/>
        <w:rtl/>
      </w:rPr>
      <w:t>هرچيزى‏</w:t>
    </w:r>
    <w:r w:rsidRPr="00A45F8F">
      <w:rPr>
        <w:rFonts w:cs="B Nazanin" w:hint="cs"/>
        <w:sz w:val="24"/>
        <w:szCs w:val="24"/>
        <w:rtl/>
      </w:rPr>
      <w:t xml:space="preserve"> </w:t>
    </w:r>
    <w:r w:rsidRPr="00A45F8F">
      <w:rPr>
        <w:rFonts w:cs="B Nazanin"/>
        <w:sz w:val="24"/>
        <w:szCs w:val="24"/>
        <w:rtl/>
      </w:rPr>
      <w:t>زكاتى دارد و زكات دانش، آموختن آن است به اهلش</w:t>
    </w:r>
    <w:r w:rsidRPr="00A45F8F">
      <w:rPr>
        <w:rFonts w:cs="B Nazanin"/>
        <w:sz w:val="24"/>
        <w:szCs w:val="24"/>
      </w:rPr>
      <w:t>.</w:t>
    </w:r>
    <w:r w:rsidRPr="00A45F8F">
      <w:rPr>
        <w:rFonts w:cs="B Nazanin" w:hint="cs"/>
        <w:sz w:val="24"/>
        <w:szCs w:val="24"/>
        <w:rtl/>
      </w:rPr>
      <w:t xml:space="preserve"> امام صادق(ع)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47" w:rsidRDefault="00BC185C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A1A99"/>
    <w:multiLevelType w:val="hybridMultilevel"/>
    <w:tmpl w:val="37E0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C"/>
    <w:rsid w:val="0001459D"/>
    <w:rsid w:val="0003647A"/>
    <w:rsid w:val="0004097C"/>
    <w:rsid w:val="0004433E"/>
    <w:rsid w:val="00044E75"/>
    <w:rsid w:val="0005513E"/>
    <w:rsid w:val="0007079D"/>
    <w:rsid w:val="00075AB1"/>
    <w:rsid w:val="00084DC5"/>
    <w:rsid w:val="00087FED"/>
    <w:rsid w:val="00097D00"/>
    <w:rsid w:val="000A1E5E"/>
    <w:rsid w:val="000A745A"/>
    <w:rsid w:val="000D36AD"/>
    <w:rsid w:val="000D4765"/>
    <w:rsid w:val="000F585B"/>
    <w:rsid w:val="00107564"/>
    <w:rsid w:val="001260F0"/>
    <w:rsid w:val="001330F7"/>
    <w:rsid w:val="00135BE7"/>
    <w:rsid w:val="00136A2E"/>
    <w:rsid w:val="00142829"/>
    <w:rsid w:val="00163747"/>
    <w:rsid w:val="00167556"/>
    <w:rsid w:val="0017469A"/>
    <w:rsid w:val="00183E22"/>
    <w:rsid w:val="00184573"/>
    <w:rsid w:val="001F10BC"/>
    <w:rsid w:val="00220030"/>
    <w:rsid w:val="002337C5"/>
    <w:rsid w:val="0025204F"/>
    <w:rsid w:val="00253B05"/>
    <w:rsid w:val="0025531A"/>
    <w:rsid w:val="002726C9"/>
    <w:rsid w:val="00276B09"/>
    <w:rsid w:val="00286EBF"/>
    <w:rsid w:val="0028752E"/>
    <w:rsid w:val="002A6F70"/>
    <w:rsid w:val="002B44B4"/>
    <w:rsid w:val="002B70E0"/>
    <w:rsid w:val="002C46D3"/>
    <w:rsid w:val="00306968"/>
    <w:rsid w:val="003142EE"/>
    <w:rsid w:val="00332FF1"/>
    <w:rsid w:val="003538A8"/>
    <w:rsid w:val="003621D2"/>
    <w:rsid w:val="003817E3"/>
    <w:rsid w:val="00390633"/>
    <w:rsid w:val="0039088A"/>
    <w:rsid w:val="003B359E"/>
    <w:rsid w:val="003B57D0"/>
    <w:rsid w:val="003C35C5"/>
    <w:rsid w:val="003C4094"/>
    <w:rsid w:val="003E4165"/>
    <w:rsid w:val="00400ED0"/>
    <w:rsid w:val="004130CA"/>
    <w:rsid w:val="0041555F"/>
    <w:rsid w:val="0041684B"/>
    <w:rsid w:val="00416877"/>
    <w:rsid w:val="004357CD"/>
    <w:rsid w:val="00441CB7"/>
    <w:rsid w:val="00442E42"/>
    <w:rsid w:val="00463C3D"/>
    <w:rsid w:val="00467548"/>
    <w:rsid w:val="004740CE"/>
    <w:rsid w:val="00495AB4"/>
    <w:rsid w:val="00497BE7"/>
    <w:rsid w:val="004C1E80"/>
    <w:rsid w:val="004D1B01"/>
    <w:rsid w:val="004F3D4C"/>
    <w:rsid w:val="005079EF"/>
    <w:rsid w:val="00517DDB"/>
    <w:rsid w:val="00520581"/>
    <w:rsid w:val="00521C3D"/>
    <w:rsid w:val="00525B77"/>
    <w:rsid w:val="00547048"/>
    <w:rsid w:val="00553B6E"/>
    <w:rsid w:val="00560C12"/>
    <w:rsid w:val="00565DD3"/>
    <w:rsid w:val="005670E7"/>
    <w:rsid w:val="005839A7"/>
    <w:rsid w:val="005963D7"/>
    <w:rsid w:val="005B5897"/>
    <w:rsid w:val="005C7BC4"/>
    <w:rsid w:val="005D694D"/>
    <w:rsid w:val="005E7DD8"/>
    <w:rsid w:val="005F0968"/>
    <w:rsid w:val="005F416F"/>
    <w:rsid w:val="005F75CC"/>
    <w:rsid w:val="006013DC"/>
    <w:rsid w:val="00624BDC"/>
    <w:rsid w:val="00641856"/>
    <w:rsid w:val="00650958"/>
    <w:rsid w:val="006570B0"/>
    <w:rsid w:val="0066798F"/>
    <w:rsid w:val="0069583B"/>
    <w:rsid w:val="006B491A"/>
    <w:rsid w:val="006C18C5"/>
    <w:rsid w:val="006F2629"/>
    <w:rsid w:val="006F4BE4"/>
    <w:rsid w:val="0070093E"/>
    <w:rsid w:val="00706AFF"/>
    <w:rsid w:val="007528D2"/>
    <w:rsid w:val="00775AD5"/>
    <w:rsid w:val="007B0C8C"/>
    <w:rsid w:val="007D2403"/>
    <w:rsid w:val="007F6393"/>
    <w:rsid w:val="008004D2"/>
    <w:rsid w:val="0080434E"/>
    <w:rsid w:val="00815440"/>
    <w:rsid w:val="00853A1C"/>
    <w:rsid w:val="008913AA"/>
    <w:rsid w:val="008A02AF"/>
    <w:rsid w:val="008A6589"/>
    <w:rsid w:val="008B4EF1"/>
    <w:rsid w:val="008E410A"/>
    <w:rsid w:val="008E7D46"/>
    <w:rsid w:val="008F0F4B"/>
    <w:rsid w:val="00917222"/>
    <w:rsid w:val="0093339A"/>
    <w:rsid w:val="00947BDC"/>
    <w:rsid w:val="009722E2"/>
    <w:rsid w:val="00972C5F"/>
    <w:rsid w:val="00992872"/>
    <w:rsid w:val="009964CD"/>
    <w:rsid w:val="009D0D5F"/>
    <w:rsid w:val="009E0E8D"/>
    <w:rsid w:val="00A02313"/>
    <w:rsid w:val="00A02AF7"/>
    <w:rsid w:val="00A13F1F"/>
    <w:rsid w:val="00A237C2"/>
    <w:rsid w:val="00A31FD4"/>
    <w:rsid w:val="00A45F8F"/>
    <w:rsid w:val="00A546DB"/>
    <w:rsid w:val="00A610B5"/>
    <w:rsid w:val="00A61C13"/>
    <w:rsid w:val="00A674BB"/>
    <w:rsid w:val="00AA168E"/>
    <w:rsid w:val="00AD6E97"/>
    <w:rsid w:val="00AF5103"/>
    <w:rsid w:val="00B016A9"/>
    <w:rsid w:val="00B07397"/>
    <w:rsid w:val="00B455CD"/>
    <w:rsid w:val="00B52848"/>
    <w:rsid w:val="00B669D4"/>
    <w:rsid w:val="00B73368"/>
    <w:rsid w:val="00B75C5D"/>
    <w:rsid w:val="00B8408B"/>
    <w:rsid w:val="00B904A6"/>
    <w:rsid w:val="00B94E68"/>
    <w:rsid w:val="00BA616E"/>
    <w:rsid w:val="00BC185C"/>
    <w:rsid w:val="00C04D7B"/>
    <w:rsid w:val="00C13AF6"/>
    <w:rsid w:val="00C24787"/>
    <w:rsid w:val="00CA4B4F"/>
    <w:rsid w:val="00CC4F47"/>
    <w:rsid w:val="00CE0952"/>
    <w:rsid w:val="00CF25C3"/>
    <w:rsid w:val="00D0605E"/>
    <w:rsid w:val="00D164AF"/>
    <w:rsid w:val="00D16AF8"/>
    <w:rsid w:val="00D300E8"/>
    <w:rsid w:val="00D34D01"/>
    <w:rsid w:val="00D47B37"/>
    <w:rsid w:val="00D72A57"/>
    <w:rsid w:val="00D74E95"/>
    <w:rsid w:val="00D84301"/>
    <w:rsid w:val="00D86278"/>
    <w:rsid w:val="00DB4EE0"/>
    <w:rsid w:val="00DB6033"/>
    <w:rsid w:val="00DC554D"/>
    <w:rsid w:val="00DF32BC"/>
    <w:rsid w:val="00E12BFA"/>
    <w:rsid w:val="00E3266A"/>
    <w:rsid w:val="00E67904"/>
    <w:rsid w:val="00E8022B"/>
    <w:rsid w:val="00E96554"/>
    <w:rsid w:val="00EA1019"/>
    <w:rsid w:val="00EB0808"/>
    <w:rsid w:val="00EE24D7"/>
    <w:rsid w:val="00F100E7"/>
    <w:rsid w:val="00F44E4C"/>
    <w:rsid w:val="00F53927"/>
    <w:rsid w:val="00F53CAD"/>
    <w:rsid w:val="00F567A6"/>
    <w:rsid w:val="00F63BFE"/>
    <w:rsid w:val="00F672D9"/>
    <w:rsid w:val="00F7536B"/>
    <w:rsid w:val="00FC208F"/>
    <w:rsid w:val="00FC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707FAD2D-F18A-431A-8DB1-F4DEB33A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styleId="GridTable4">
    <w:name w:val="Grid Table 4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F9E8-1A9A-4FA4-B5A6-38539AEB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Administrator</cp:lastModifiedBy>
  <cp:revision>2</cp:revision>
  <cp:lastPrinted>2017-12-14T11:48:00Z</cp:lastPrinted>
  <dcterms:created xsi:type="dcterms:W3CDTF">2018-12-08T08:41:00Z</dcterms:created>
  <dcterms:modified xsi:type="dcterms:W3CDTF">2018-12-08T08:41:00Z</dcterms:modified>
</cp:coreProperties>
</file>